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E2" w:rsidRPr="002234E2" w:rsidRDefault="00990F9E" w:rsidP="002234E2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234E2" w:rsidRPr="006E1D8E">
        <w:rPr>
          <w:rFonts w:ascii="Times New Roman" w:hAnsi="Times New Roman" w:cs="Times New Roman"/>
          <w:b/>
          <w:bCs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зачету </w:t>
      </w:r>
      <w:bookmarkStart w:id="0" w:name="_GoBack"/>
      <w:bookmarkEnd w:id="0"/>
      <w:r w:rsidR="002234E2" w:rsidRPr="006E1D8E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</w:p>
    <w:p w:rsidR="002234E2" w:rsidRDefault="002234E2" w:rsidP="002234E2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БАНКОВСКОЕ ДЕЛО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 w:rsidRPr="007B1233">
        <w:t xml:space="preserve">Происхождение </w:t>
      </w:r>
      <w:r>
        <w:t>банков и современное представление о сущности банка.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>
        <w:t>Характеристика банка как предприятия.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С</w:t>
      </w:r>
      <w:r w:rsidRPr="007B1233">
        <w:t>оздани</w:t>
      </w:r>
      <w:r>
        <w:t>е</w:t>
      </w:r>
      <w:r w:rsidRPr="007B1233">
        <w:t xml:space="preserve"> банка</w:t>
      </w:r>
      <w:r>
        <w:t xml:space="preserve">. Перечень необходимых юридических документов для регистрации банка в качестве юридического лица и получения лицензии. 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>
        <w:t>Основания для отзыва лицензии на осуществление банковской деятельности.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Капитал банка. Основной и дополнительный капитал. Функции банковского капитала. Оценка достаточности собственного капитала. </w:t>
      </w:r>
    </w:p>
    <w:p w:rsidR="00DF5CFE" w:rsidRDefault="00DF5CFE" w:rsidP="00DF5CFE">
      <w:pPr>
        <w:pStyle w:val="a6"/>
        <w:numPr>
          <w:ilvl w:val="0"/>
          <w:numId w:val="2"/>
        </w:numPr>
      </w:pPr>
      <w:r w:rsidRPr="007B1233">
        <w:t>Понятие ликвидности и платежеспособности</w:t>
      </w:r>
      <w:r>
        <w:t xml:space="preserve"> банка</w:t>
      </w:r>
      <w:r w:rsidRPr="007B1233">
        <w:t>. Факторы ликвидности банка</w:t>
      </w:r>
      <w:r>
        <w:t>.</w:t>
      </w:r>
      <w:r w:rsidRPr="007B1233">
        <w:t xml:space="preserve"> </w:t>
      </w:r>
    </w:p>
    <w:p w:rsidR="00DF5CFE" w:rsidRDefault="00DF5CFE" w:rsidP="00DF5CFE">
      <w:pPr>
        <w:pStyle w:val="a6"/>
        <w:numPr>
          <w:ilvl w:val="0"/>
          <w:numId w:val="2"/>
        </w:numPr>
      </w:pPr>
      <w:r w:rsidRPr="007B1233">
        <w:t xml:space="preserve">Действующая система </w:t>
      </w:r>
      <w:r>
        <w:t xml:space="preserve">обязательных </w:t>
      </w:r>
      <w:r w:rsidRPr="007B1233">
        <w:t xml:space="preserve">нормативов </w:t>
      </w:r>
      <w:r>
        <w:t>банков.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Методы определения кредитной ставки зарубежными и российскими банками. 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Анализ доходов и расходов банка. Оценка уровня прибыли.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Порядок выпуска и регистрации акций банками.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>
        <w:t>Порядок выпуска и регистрации облигаций банками.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 w:rsidRPr="007B1233">
        <w:t>Порядок открытия банковского счета для юридических и физических лиц</w:t>
      </w:r>
      <w:r>
        <w:t>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Характеристика привлеченных средств банка: депозиты до востребования и срочные</w:t>
      </w:r>
      <w:r w:rsidRPr="007B1233">
        <w:t xml:space="preserve"> депозит</w:t>
      </w:r>
      <w:r>
        <w:t>ы.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Порядок выпуска и обращения банками </w:t>
      </w:r>
      <w:r w:rsidRPr="007B1233">
        <w:t>депозитны</w:t>
      </w:r>
      <w:r>
        <w:t>х</w:t>
      </w:r>
      <w:r w:rsidRPr="007B1233">
        <w:t xml:space="preserve"> и сберегательны</w:t>
      </w:r>
      <w:r>
        <w:t>х сертификатов.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Порядок выпуска и обращения банками собственных векселей.</w:t>
      </w:r>
    </w:p>
    <w:p w:rsidR="00DF5CFE" w:rsidRDefault="00DF5CFE" w:rsidP="00DF5CFE">
      <w:pPr>
        <w:pStyle w:val="a6"/>
        <w:numPr>
          <w:ilvl w:val="0"/>
          <w:numId w:val="2"/>
        </w:numPr>
      </w:pPr>
      <w:r w:rsidRPr="007B1233">
        <w:t>Межбанковские кредиты: их виды и порядок предоставления</w:t>
      </w:r>
      <w:r>
        <w:t>. Рынок межбанковских кредитов.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lastRenderedPageBreak/>
        <w:t>Кредитование Центральным Банком РФ банков: особенности предоставления и погашения ломбардных кредитов.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Кредитование Центральным Банком РФ банков: особенности предоставления и погашения внутридневных кредитов и кредитов овернайт.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Кредитование Центральным Банком РФ банка, осуществляющего меры по финансовому оздоровлению другой кредитной организации.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Кредитная политика банка.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Методики оценки кредитоспособности и платежеспособности предприятия.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Организация банковского кредитования предприятий. Документы, предоставляемые в банк для получения кредита. Порядок выдачи и погашения кредита. 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Организация банковского кредитования предприятий. Мониторинг и ревизия выданных кредитов.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Организация банковского кредитования предприятий. Работа с проблемными кредитами.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Вексельные кредиты коммерческих банков: учет векселей, ссуды под залог векселей, </w:t>
      </w:r>
      <w:proofErr w:type="spellStart"/>
      <w:r>
        <w:t>векселедательский</w:t>
      </w:r>
      <w:proofErr w:type="spellEnd"/>
      <w:r>
        <w:t xml:space="preserve"> и акцептный кредит.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Организация банковского кредитования физических лиц. Методики оценки кредитоспособности физических лиц.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Консорциальные (синдицированные) кредиты. Организация банковских консорциумов.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 w:rsidRPr="007B1233">
        <w:t>Залог и залоговый механизм</w:t>
      </w:r>
      <w:r>
        <w:t>. Выбор предметов залога. Составление и исполнение договора о залоге. Порядок обращения взыскания на залог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Обеспечение возвратности кредита посредством у</w:t>
      </w:r>
      <w:r w:rsidRPr="007B1233">
        <w:t>ступк</w:t>
      </w:r>
      <w:r>
        <w:t>и</w:t>
      </w:r>
      <w:r w:rsidRPr="007B1233">
        <w:t xml:space="preserve"> требований (цесси</w:t>
      </w:r>
      <w:r>
        <w:t>и</w:t>
      </w:r>
      <w:r w:rsidRPr="007B1233">
        <w:t xml:space="preserve">) </w:t>
      </w:r>
      <w:r>
        <w:t>или</w:t>
      </w:r>
      <w:r w:rsidRPr="007B1233">
        <w:t xml:space="preserve"> передач</w:t>
      </w:r>
      <w:r>
        <w:t>и</w:t>
      </w:r>
      <w:r w:rsidRPr="007B1233">
        <w:t xml:space="preserve"> права собственности</w:t>
      </w:r>
      <w:r>
        <w:t xml:space="preserve">. 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Организация операций коммерческих банков по предоставлению гарантий.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lastRenderedPageBreak/>
        <w:t>Платежная система России. Формы безналичных расчетов. Внедрение новых форм расчетов.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Кассовое обслуживание клиентов  банками.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Межбанковские корреспондентские отношения. Расчеты через подразделения расчетной сети Банка России.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Организация лизинговых операций в банке. Виды лизинга. Риски лизинговых сделок.</w:t>
      </w:r>
    </w:p>
    <w:p w:rsidR="00DF5CFE" w:rsidRDefault="00DF5CFE" w:rsidP="00DF5CFE">
      <w:pPr>
        <w:pStyle w:val="a6"/>
        <w:numPr>
          <w:ilvl w:val="0"/>
          <w:numId w:val="2"/>
        </w:numPr>
      </w:pPr>
      <w:r w:rsidRPr="00C37F7C">
        <w:t>Операции доверительного управления банками имуществом клиентов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Операции банков с ценными бумагами. Оценка финансовых инструментов с позиций портфельного инвестирования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Операции банков по доверительному управлению имуществом клиентов. Общие фонды банковского управления.</w:t>
      </w:r>
    </w:p>
    <w:p w:rsidR="00DF5CFE" w:rsidRDefault="00DF5CFE" w:rsidP="00DF5CFE">
      <w:pPr>
        <w:pStyle w:val="a6"/>
        <w:numPr>
          <w:ilvl w:val="0"/>
          <w:numId w:val="2"/>
        </w:numPr>
      </w:pPr>
      <w:r w:rsidRPr="007B1233">
        <w:t>Банковские операции с пластиковыми картами</w:t>
      </w:r>
      <w:r>
        <w:t>.</w:t>
      </w:r>
    </w:p>
    <w:p w:rsidR="00DF5CFE" w:rsidRDefault="00DF5CFE" w:rsidP="00DF5CFE">
      <w:pPr>
        <w:pStyle w:val="a6"/>
        <w:numPr>
          <w:ilvl w:val="0"/>
          <w:numId w:val="2"/>
        </w:numPr>
      </w:pPr>
      <w:r w:rsidRPr="007B1233">
        <w:t>Дистанционное банковское обслуживание</w:t>
      </w:r>
      <w:r>
        <w:t>. Системы «Клиент-банк».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Банковское обслуживание электронной коммерции.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Консультационные услуги коммерческих банков для физических и юридических лиц.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>Услуги коммерческих банков по хранению ценностей.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 Факторинг. Определение и схемы проведения операций.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>
        <w:t xml:space="preserve"> Форфейтинг. Определение и схемы проведения операций.</w:t>
      </w:r>
    </w:p>
    <w:p w:rsidR="00DF5CFE" w:rsidRPr="00B0711D" w:rsidRDefault="00DF5CFE" w:rsidP="00DF5CFE">
      <w:pPr>
        <w:pStyle w:val="a6"/>
        <w:numPr>
          <w:ilvl w:val="0"/>
          <w:numId w:val="2"/>
        </w:numPr>
      </w:pPr>
      <w:bookmarkStart w:id="1" w:name="_Toc278643904"/>
      <w:bookmarkStart w:id="2" w:name="_Toc318030681"/>
      <w:r w:rsidRPr="00B0711D">
        <w:t>Аффинажные драгоценные металлы и природные драгоценные камни: основные понятия, маркировка и оценка</w:t>
      </w:r>
      <w:bookmarkEnd w:id="1"/>
      <w:bookmarkEnd w:id="2"/>
    </w:p>
    <w:p w:rsidR="00DF5CFE" w:rsidRPr="00D01240" w:rsidRDefault="00DF5CFE" w:rsidP="00DF5CFE">
      <w:pPr>
        <w:pStyle w:val="a6"/>
        <w:numPr>
          <w:ilvl w:val="0"/>
          <w:numId w:val="2"/>
        </w:numPr>
      </w:pPr>
      <w:bookmarkStart w:id="3" w:name="_Toc278643905"/>
      <w:bookmarkStart w:id="4" w:name="_Toc318030682"/>
      <w:r w:rsidRPr="00D01240">
        <w:t>Операции Банка России с драгоценными металлами и драгоценными камнями</w:t>
      </w:r>
      <w:bookmarkEnd w:id="3"/>
      <w:bookmarkEnd w:id="4"/>
    </w:p>
    <w:p w:rsidR="00DF5CFE" w:rsidRPr="00D01240" w:rsidRDefault="00DF5CFE" w:rsidP="00DF5CFE">
      <w:pPr>
        <w:pStyle w:val="a6"/>
        <w:numPr>
          <w:ilvl w:val="0"/>
          <w:numId w:val="2"/>
        </w:numPr>
      </w:pPr>
      <w:bookmarkStart w:id="5" w:name="_Toc278643906"/>
      <w:bookmarkStart w:id="6" w:name="_Toc318030683"/>
      <w:r w:rsidRPr="00D01240">
        <w:t>Операции российских банков с драгоценными металлами и драгоценными камнями</w:t>
      </w:r>
      <w:bookmarkEnd w:id="5"/>
      <w:bookmarkEnd w:id="6"/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 </w:t>
      </w:r>
      <w:r w:rsidRPr="000F019E">
        <w:t>Операции</w:t>
      </w:r>
      <w:r>
        <w:t xml:space="preserve"> </w:t>
      </w:r>
      <w:r w:rsidRPr="000F019E">
        <w:t>с денежными средствами или иным имуществом, подлежащие обязательному контролю</w:t>
      </w:r>
    </w:p>
    <w:p w:rsidR="00DF5CFE" w:rsidRDefault="00DF5CFE" w:rsidP="00DF5CFE">
      <w:pPr>
        <w:pStyle w:val="a6"/>
        <w:numPr>
          <w:ilvl w:val="0"/>
          <w:numId w:val="2"/>
        </w:numPr>
      </w:pPr>
      <w:r>
        <w:t xml:space="preserve"> </w:t>
      </w:r>
      <w:r w:rsidRPr="00967B5F">
        <w:t>Организационное обеспечение банковских операций доверительного управления</w:t>
      </w:r>
    </w:p>
    <w:p w:rsidR="00DF5CFE" w:rsidRPr="007B1233" w:rsidRDefault="00DF5CFE" w:rsidP="00DF5CFE">
      <w:pPr>
        <w:pStyle w:val="a6"/>
        <w:numPr>
          <w:ilvl w:val="0"/>
          <w:numId w:val="2"/>
        </w:numPr>
      </w:pPr>
      <w:r>
        <w:lastRenderedPageBreak/>
        <w:t xml:space="preserve"> Международное банковское дело. Оффшорные банки.</w:t>
      </w:r>
    </w:p>
    <w:p w:rsidR="002234E2" w:rsidRPr="006E1D8E" w:rsidRDefault="002234E2" w:rsidP="002234E2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sz w:val="20"/>
          <w:szCs w:val="20"/>
        </w:rPr>
      </w:pPr>
    </w:p>
    <w:p w:rsidR="003021CC" w:rsidRDefault="003021CC"/>
    <w:sectPr w:rsidR="003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FA0"/>
    <w:multiLevelType w:val="hybridMultilevel"/>
    <w:tmpl w:val="B33EF132"/>
    <w:lvl w:ilvl="0" w:tplc="C47A0B8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B4D"/>
    <w:multiLevelType w:val="hybridMultilevel"/>
    <w:tmpl w:val="723C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FF"/>
    <w:rsid w:val="002234E2"/>
    <w:rsid w:val="002F4026"/>
    <w:rsid w:val="003021CC"/>
    <w:rsid w:val="003C6310"/>
    <w:rsid w:val="006251CF"/>
    <w:rsid w:val="006C474C"/>
    <w:rsid w:val="00734750"/>
    <w:rsid w:val="007B05FF"/>
    <w:rsid w:val="008A1778"/>
    <w:rsid w:val="008D0DFF"/>
    <w:rsid w:val="00990F9E"/>
    <w:rsid w:val="00A759B7"/>
    <w:rsid w:val="00DF5CFE"/>
    <w:rsid w:val="00F32402"/>
    <w:rsid w:val="00F35133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  <w:style w:type="paragraph" w:customStyle="1" w:styleId="a6">
    <w:name w:val="Программа по БД"/>
    <w:basedOn w:val="30"/>
    <w:autoRedefine/>
    <w:rsid w:val="00DF5CFE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3"/>
    <w:basedOn w:val="a"/>
    <w:link w:val="31"/>
    <w:uiPriority w:val="99"/>
    <w:semiHidden/>
    <w:unhideWhenUsed/>
    <w:rsid w:val="00DF5CF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F5CFE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  <w:style w:type="paragraph" w:customStyle="1" w:styleId="a6">
    <w:name w:val="Программа по БД"/>
    <w:basedOn w:val="30"/>
    <w:autoRedefine/>
    <w:rsid w:val="00DF5CFE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3"/>
    <w:basedOn w:val="a"/>
    <w:link w:val="31"/>
    <w:uiPriority w:val="99"/>
    <w:semiHidden/>
    <w:unhideWhenUsed/>
    <w:rsid w:val="00DF5CF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F5CF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598</Words>
  <Characters>3413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2014-10-16T10:38:00Z</dcterms:created>
  <dcterms:modified xsi:type="dcterms:W3CDTF">2014-10-17T06:43:00Z</dcterms:modified>
</cp:coreProperties>
</file>