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E" w:rsidRPr="002234E2" w:rsidRDefault="0004735E" w:rsidP="0004735E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зачету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04735E" w:rsidRDefault="0004735E" w:rsidP="0004735E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ИНСТИТУТЫ ФИНАНСОВОГО РЫНКА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Понятие финансовых институтов. Примеры финансовых институтов.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Финансовая система и ее функции. Типы финансовых систем.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Финансовый рынок и его функции.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Эволюция мировой финансовой системы, финансовые кризисы.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>Международные финансовые центры. Преимущества и недостатки Москвы в роли международного финансового центра.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Виды профессиональной деятельности на рынке ценных бумаг.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Типы биржевых заявок. Механизм биржевой торговли.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>
        <w:t>Понятие квалифицированного инвестора в России. Квалификационное признание инвесторов в Еврозоне и США.</w:t>
      </w:r>
    </w:p>
    <w:p w:rsidR="0004735E" w:rsidRPr="00717845" w:rsidRDefault="0004735E" w:rsidP="0004735E">
      <w:pPr>
        <w:pStyle w:val="a6"/>
        <w:numPr>
          <w:ilvl w:val="0"/>
          <w:numId w:val="2"/>
        </w:numPr>
      </w:pPr>
      <w:r>
        <w:t>Факторы, влияющие на процентные ставки. Прогнозирование процентных ставок.</w:t>
      </w:r>
    </w:p>
    <w:p w:rsidR="0004735E" w:rsidRPr="00717845" w:rsidRDefault="0004735E" w:rsidP="0004735E">
      <w:pPr>
        <w:pStyle w:val="a6"/>
        <w:numPr>
          <w:ilvl w:val="0"/>
          <w:numId w:val="2"/>
        </w:numPr>
      </w:pPr>
      <w:r>
        <w:t>Понятие структуры процентных ставок. Наклон кривой доходности и его значение для прогнозирования экономических рецессий.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Рынок государственных краткосрочных облигаций. Коммерческие ценные бумаги. Операции РЕПО. Прочие краткосрочные долговые ценные бумаги.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Рынок государственных долгосрочных облигаций. Муниципальные облигации.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Корпоративные облигации.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Другие типы долгосрочных долговых ценных бумаг: структурированные кредитные ноты, биржевые кредитные ноты, ценные бумаги с аукционным типом ценообразования. Бросовые облигации.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>Типы ипотечных ценных бумаг. Оценка и риск ипотечных обязательств.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>Критерии оценки кредитоспособности ипотечного заемщика. Ипотечный долговой кризис.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lastRenderedPageBreak/>
        <w:t xml:space="preserve">Первичное и вторичное предложение акций на бирже.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Наблюдение за компаниями эмитентами акций: финансовый анализ, особенности учетной политики компаний, участие акционеров в управлении корпорацией.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Понятие финансового фьючерсного контракта. Рынок финансовых фьючерсов.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Фьючерсы на процентную ставку: оценка, спекулятивные и хеджирующие стратегии торговли.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Фьючерсы на фондовый индекс: оценка, спекулятивные и хеджирующие стратегии торговли.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>Риски торговли фьючерсными контрактами.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Понятие опциона. Определение премии опциона, связь стоимости опциона с волатильностью базового актива.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>Опционы на паи биржевых взаимных фондов и индексы акций. Спекулятивные и хеджирующие стратегии торговли.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Опционы на фьючерсы: спекулятивные и хеджирующие стратегии торговли.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Опционы как форма оплаты труда </w:t>
      </w:r>
      <w:proofErr w:type="gramStart"/>
      <w:r>
        <w:t>топ-менеджеров</w:t>
      </w:r>
      <w:proofErr w:type="gramEnd"/>
      <w:r>
        <w:t>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Свопы на процентную ставку: внебиржевые свопы, форвардные свопы, </w:t>
      </w:r>
      <w:proofErr w:type="spellStart"/>
      <w:proofErr w:type="gramStart"/>
      <w:r>
        <w:t>колл</w:t>
      </w:r>
      <w:proofErr w:type="spellEnd"/>
      <w:r>
        <w:t>-свопы</w:t>
      </w:r>
      <w:proofErr w:type="gramEnd"/>
      <w:r>
        <w:t>, пут-свопы.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Свопы на процентную ставку: расширяемые свопы, свопы с нулевым купоном, свопы с ограниченной процентной ставкой, свопы акциями и др.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Риски свопов на процентную ставку: базисный риск, кредитный риск, риск суверенного дефолта. Ценообразование свопов на процентную ставку.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Процентные копы, флоры и </w:t>
      </w:r>
      <w:proofErr w:type="spellStart"/>
      <w:r>
        <w:t>коллары</w:t>
      </w:r>
      <w:proofErr w:type="spellEnd"/>
      <w:r>
        <w:t>. Кредитные дефолтные свопы.</w:t>
      </w:r>
    </w:p>
    <w:p w:rsidR="0004735E" w:rsidRPr="00717845" w:rsidRDefault="0004735E" w:rsidP="0004735E">
      <w:pPr>
        <w:pStyle w:val="a6"/>
        <w:numPr>
          <w:ilvl w:val="0"/>
          <w:numId w:val="2"/>
        </w:numPr>
      </w:pPr>
      <w:r>
        <w:t xml:space="preserve">Применение методов Монте-Карло для расчета цены опционов и других производных финансовых инструментов.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lastRenderedPageBreak/>
        <w:t>Операции банков по привлечению и размещению средств и их регулирование.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Операции банков с ценными бумагами и их регулирование.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Требования по достаточности банковского капитала: Базель 1, 2, 3. Использование метода </w:t>
      </w:r>
      <w:proofErr w:type="spellStart"/>
      <w:r w:rsidRPr="00213044">
        <w:t>VaR</w:t>
      </w:r>
      <w:proofErr w:type="spellEnd"/>
      <w:r>
        <w:t xml:space="preserve"> (стоимость под риском) для определения потребности банка в собственном капитале.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Надзор за деятельностью банков. Спасение правительством проблемных банков.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>Согласование вознаграждения менеджеров с целями деятельности банка. Оценка эффективности и результатов деятельности банка.</w:t>
      </w:r>
    </w:p>
    <w:p w:rsidR="0004735E" w:rsidRPr="00213044" w:rsidRDefault="0004735E" w:rsidP="0004735E">
      <w:pPr>
        <w:pStyle w:val="a6"/>
        <w:numPr>
          <w:ilvl w:val="0"/>
          <w:numId w:val="2"/>
        </w:numPr>
      </w:pPr>
      <w:r>
        <w:t xml:space="preserve">Управление ликвидностью и рисками банка (процентным, кредитным рыночным). </w:t>
      </w:r>
    </w:p>
    <w:p w:rsidR="0004735E" w:rsidRDefault="0004735E" w:rsidP="0004735E">
      <w:pPr>
        <w:pStyle w:val="a6"/>
        <w:numPr>
          <w:ilvl w:val="0"/>
          <w:numId w:val="2"/>
        </w:numPr>
      </w:pPr>
      <w:r w:rsidRPr="0036100D">
        <w:t>Паевые инвестиционные фонды (</w:t>
      </w:r>
      <w:proofErr w:type="spellStart"/>
      <w:r w:rsidRPr="0036100D">
        <w:t>ПИФы</w:t>
      </w:r>
      <w:proofErr w:type="spellEnd"/>
      <w:r w:rsidRPr="0036100D">
        <w:t xml:space="preserve">). Методы оценки результатов </w:t>
      </w:r>
      <w:proofErr w:type="spellStart"/>
      <w:r w:rsidRPr="0036100D">
        <w:t>ПИФа</w:t>
      </w:r>
      <w:proofErr w:type="spellEnd"/>
      <w:r w:rsidRPr="0036100D">
        <w:t xml:space="preserve">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Организация деятельности закрытого паевого инвестиционного фонда.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 Организация деятельности инвестиционного товарищества. </w:t>
      </w:r>
    </w:p>
    <w:p w:rsidR="0004735E" w:rsidRDefault="0004735E" w:rsidP="0004735E">
      <w:pPr>
        <w:pStyle w:val="a6"/>
        <w:numPr>
          <w:ilvl w:val="0"/>
          <w:numId w:val="2"/>
        </w:numPr>
      </w:pPr>
      <w:r>
        <w:t xml:space="preserve"> Законодательные требования к структуре активов инвестиционных фондов.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 xml:space="preserve">Понятие венчурных инвестиций. Обзор сектора венчурных инвестиций в России и в мире.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 xml:space="preserve">Устройство и организация деятельности венчурных фондов.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 xml:space="preserve">Цикл венчурного инвестирования.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 xml:space="preserve">Процедура отбора компаний для венчурных инвестиций.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 xml:space="preserve">Методы оценки венчурных проектов.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 xml:space="preserve">Биржевые рынки для акций венчурных компаний. 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>Деятельность венчурных ангелов.</w:t>
      </w:r>
    </w:p>
    <w:p w:rsidR="0004735E" w:rsidRPr="0036100D" w:rsidRDefault="0004735E" w:rsidP="0004735E">
      <w:pPr>
        <w:pStyle w:val="a6"/>
        <w:numPr>
          <w:ilvl w:val="0"/>
          <w:numId w:val="2"/>
        </w:numPr>
      </w:pPr>
      <w:r w:rsidRPr="0036100D">
        <w:t>Основные стратегии</w:t>
      </w:r>
      <w:r>
        <w:t>,</w:t>
      </w:r>
      <w:r w:rsidRPr="0036100D">
        <w:t xml:space="preserve"> используемые менеджерами </w:t>
      </w:r>
      <w:proofErr w:type="gramStart"/>
      <w:r w:rsidRPr="0036100D">
        <w:t>хедж-фондов</w:t>
      </w:r>
      <w:proofErr w:type="gramEnd"/>
      <w:r w:rsidRPr="0036100D">
        <w:t xml:space="preserve">. </w:t>
      </w:r>
    </w:p>
    <w:p w:rsidR="003021CC" w:rsidRDefault="0004735E" w:rsidP="0004735E">
      <w:pPr>
        <w:pStyle w:val="a6"/>
        <w:numPr>
          <w:ilvl w:val="0"/>
          <w:numId w:val="2"/>
        </w:numPr>
      </w:pPr>
      <w:r w:rsidRPr="0036100D">
        <w:t xml:space="preserve">Устройство и организация деятельности </w:t>
      </w:r>
      <w:proofErr w:type="gramStart"/>
      <w:r w:rsidRPr="0036100D">
        <w:t>хедж-фондов</w:t>
      </w:r>
      <w:proofErr w:type="gramEnd"/>
      <w:r w:rsidRPr="0036100D">
        <w:t>.</w:t>
      </w:r>
    </w:p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686"/>
    <w:multiLevelType w:val="hybridMultilevel"/>
    <w:tmpl w:val="EB7A69FA"/>
    <w:lvl w:ilvl="0" w:tplc="3FFE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6E"/>
    <w:rsid w:val="0004735E"/>
    <w:rsid w:val="002F4026"/>
    <w:rsid w:val="003021CC"/>
    <w:rsid w:val="003C6310"/>
    <w:rsid w:val="006C474C"/>
    <w:rsid w:val="00734750"/>
    <w:rsid w:val="00780E4B"/>
    <w:rsid w:val="008A1778"/>
    <w:rsid w:val="008D0DFF"/>
    <w:rsid w:val="00A759B7"/>
    <w:rsid w:val="00BB2C6E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customStyle="1" w:styleId="a6">
    <w:name w:val="Программа по БД"/>
    <w:basedOn w:val="30"/>
    <w:autoRedefine/>
    <w:rsid w:val="0004735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04735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0473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customStyle="1" w:styleId="a6">
    <w:name w:val="Программа по БД"/>
    <w:basedOn w:val="30"/>
    <w:autoRedefine/>
    <w:rsid w:val="0004735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04735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0473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2014-10-16T11:22:00Z</dcterms:created>
  <dcterms:modified xsi:type="dcterms:W3CDTF">2014-10-17T06:36:00Z</dcterms:modified>
</cp:coreProperties>
</file>